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3E6" w:rsidRDefault="000513E6" w:rsidP="009F739E">
      <w:pPr>
        <w:jc w:val="both"/>
      </w:pPr>
      <w:r>
        <w:tab/>
      </w:r>
    </w:p>
    <w:p w:rsidR="000513E6" w:rsidRPr="001A6CBD" w:rsidRDefault="000513E6" w:rsidP="009F739E">
      <w:pPr>
        <w:jc w:val="both"/>
        <w:rPr>
          <w:b/>
          <w:sz w:val="28"/>
          <w:szCs w:val="28"/>
          <w:u w:val="single"/>
        </w:rPr>
      </w:pPr>
      <w:r w:rsidRPr="001A6CBD">
        <w:rPr>
          <w:b/>
          <w:sz w:val="28"/>
          <w:szCs w:val="28"/>
          <w:u w:val="single"/>
        </w:rPr>
        <w:t xml:space="preserve">Příloha 1 – </w:t>
      </w:r>
      <w:r>
        <w:rPr>
          <w:b/>
          <w:sz w:val="28"/>
          <w:szCs w:val="28"/>
          <w:u w:val="single"/>
        </w:rPr>
        <w:t xml:space="preserve">Specifikace </w:t>
      </w:r>
      <w:r w:rsidRPr="001A6CBD">
        <w:rPr>
          <w:b/>
          <w:sz w:val="28"/>
          <w:szCs w:val="28"/>
          <w:u w:val="single"/>
        </w:rPr>
        <w:t>Osvětlení skleníku</w:t>
      </w:r>
    </w:p>
    <w:p w:rsidR="000513E6" w:rsidRDefault="000513E6" w:rsidP="009F739E">
      <w:pPr>
        <w:jc w:val="both"/>
      </w:pPr>
    </w:p>
    <w:p w:rsidR="000513E6" w:rsidRDefault="000513E6" w:rsidP="009F739E">
      <w:pPr>
        <w:jc w:val="both"/>
      </w:pPr>
    </w:p>
    <w:p w:rsidR="000513E6" w:rsidRDefault="000513E6" w:rsidP="009F739E">
      <w:pPr>
        <w:jc w:val="both"/>
      </w:pPr>
      <w:r>
        <w:t>Vypracoval:</w:t>
      </w:r>
      <w:r>
        <w:tab/>
        <w:t>Ing. Jiří Mikulík</w:t>
      </w:r>
    </w:p>
    <w:p w:rsidR="000513E6" w:rsidRDefault="000513E6" w:rsidP="009F739E">
      <w:pPr>
        <w:jc w:val="both"/>
      </w:pPr>
      <w:r>
        <w:t>Kontroloval:</w:t>
      </w:r>
      <w:r>
        <w:tab/>
        <w:t>Miroslav Náležinský</w:t>
      </w:r>
    </w:p>
    <w:p w:rsidR="000513E6" w:rsidRDefault="000513E6" w:rsidP="009F739E">
      <w:pPr>
        <w:jc w:val="both"/>
      </w:pPr>
      <w:r>
        <w:t>Dne:</w:t>
      </w:r>
      <w:r>
        <w:tab/>
      </w:r>
      <w:r>
        <w:tab/>
        <w:t>4.10.2012</w:t>
      </w:r>
    </w:p>
    <w:p w:rsidR="000513E6" w:rsidRDefault="000513E6" w:rsidP="009F739E">
      <w:pPr>
        <w:jc w:val="both"/>
      </w:pPr>
    </w:p>
    <w:p w:rsidR="000513E6" w:rsidRDefault="000513E6" w:rsidP="009F739E">
      <w:pPr>
        <w:pStyle w:val="Nadpis1"/>
        <w:jc w:val="both"/>
        <w:sectPr w:rsidR="000513E6" w:rsidSect="00557524">
          <w:type w:val="continuous"/>
          <w:pgSz w:w="11906" w:h="16838" w:code="9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0513E6" w:rsidRPr="00F56F88" w:rsidRDefault="000513E6" w:rsidP="009F739E">
      <w:pPr>
        <w:pStyle w:val="Nadpis1"/>
        <w:jc w:val="both"/>
      </w:pPr>
      <w:bookmarkStart w:id="0" w:name="_Toc337035048"/>
      <w:r w:rsidRPr="00F56F88">
        <w:lastRenderedPageBreak/>
        <w:t>Úvod</w:t>
      </w:r>
      <w:bookmarkEnd w:id="0"/>
    </w:p>
    <w:p w:rsidR="000513E6" w:rsidRDefault="000513E6" w:rsidP="009F739E">
      <w:pPr>
        <w:ind w:firstLine="708"/>
        <w:jc w:val="both"/>
      </w:pPr>
      <w:r>
        <w:t xml:space="preserve">Tato zpráva popisuje osvětlení </w:t>
      </w:r>
      <w:r w:rsidR="00640313">
        <w:t xml:space="preserve">skleníku </w:t>
      </w:r>
      <w:r>
        <w:t>na základě výpočtů plynoucí z požadavků investora.</w:t>
      </w:r>
    </w:p>
    <w:p w:rsidR="000513E6" w:rsidRDefault="000513E6" w:rsidP="009F739E">
      <w:pPr>
        <w:pStyle w:val="Nadpis1"/>
        <w:jc w:val="both"/>
      </w:pPr>
      <w:bookmarkStart w:id="1" w:name="_Toc337035049"/>
      <w:r>
        <w:t>Podklady</w:t>
      </w:r>
      <w:bookmarkEnd w:id="1"/>
    </w:p>
    <w:p w:rsidR="000513E6" w:rsidRDefault="000513E6" w:rsidP="009F739E">
      <w:pPr>
        <w:ind w:firstLine="708"/>
        <w:jc w:val="both"/>
      </w:pPr>
      <w:r>
        <w:t>Základními podklady pro zpracování této zprávy je zadání investora, a  podklady použitých součástí osvětlení a požadavky na elektroinstalaci.</w:t>
      </w:r>
    </w:p>
    <w:p w:rsidR="000513E6" w:rsidRDefault="000513E6" w:rsidP="009F739E">
      <w:pPr>
        <w:pStyle w:val="Nadpis1"/>
        <w:jc w:val="both"/>
      </w:pPr>
      <w:bookmarkStart w:id="2" w:name="_Toc337035050"/>
      <w:r>
        <w:t xml:space="preserve">Požadavky </w:t>
      </w:r>
      <w:bookmarkEnd w:id="2"/>
      <w:r>
        <w:t xml:space="preserve">na osvětlení </w:t>
      </w:r>
      <w:r w:rsidR="00640313">
        <w:t>skleníku</w:t>
      </w:r>
    </w:p>
    <w:p w:rsidR="000513E6" w:rsidRDefault="000513E6" w:rsidP="009F739E">
      <w:pPr>
        <w:jc w:val="both"/>
      </w:pPr>
    </w:p>
    <w:p w:rsidR="000513E6" w:rsidRDefault="000513E6" w:rsidP="009F739E">
      <w:pPr>
        <w:jc w:val="both"/>
      </w:pPr>
      <w:r>
        <w:t>Požadavky investora:</w:t>
      </w:r>
    </w:p>
    <w:p w:rsidR="000513E6" w:rsidRDefault="000513E6" w:rsidP="009F739E">
      <w:pPr>
        <w:jc w:val="both"/>
      </w:pPr>
      <w:r>
        <w:tab/>
        <w:t>1.</w:t>
      </w:r>
      <w:r>
        <w:tab/>
        <w:t xml:space="preserve">Intenzita osvětlení </w:t>
      </w:r>
      <w:r w:rsidR="00AD4D9C">
        <w:t xml:space="preserve">250uE </w:t>
      </w:r>
      <w:r>
        <w:t>(2</w:t>
      </w:r>
      <w:r w:rsidR="00AD4D9C">
        <w:t>5</w:t>
      </w:r>
      <w:r>
        <w:t xml:space="preserve">0umols-1m-1) ve vzdál. </w:t>
      </w:r>
      <w:smartTag w:uri="urn:schemas-microsoft-com:office:smarttags" w:element="metricconverter">
        <w:smartTagPr>
          <w:attr w:name="ProductID" w:val="500 mm"/>
        </w:smartTagPr>
        <w:r>
          <w:t>500 mm</w:t>
        </w:r>
      </w:smartTag>
      <w:r>
        <w:t xml:space="preserve"> od zdroje světla. </w:t>
      </w:r>
    </w:p>
    <w:p w:rsidR="000513E6" w:rsidRDefault="000513E6" w:rsidP="009F739E">
      <w:pPr>
        <w:jc w:val="both"/>
      </w:pPr>
      <w:r>
        <w:tab/>
        <w:t>2.</w:t>
      </w:r>
      <w:r>
        <w:tab/>
        <w:t xml:space="preserve">Homogenita osvětlení na </w:t>
      </w:r>
      <w:r w:rsidR="00AD4D9C">
        <w:t>celé ploše stolu</w:t>
      </w:r>
      <w:r>
        <w:t xml:space="preserve"> o rozměrech 6,5 x 1 m</w:t>
      </w:r>
      <w:r w:rsidR="0031312B">
        <w:t xml:space="preserve"> -</w:t>
      </w:r>
      <w:r w:rsidR="009A032B">
        <w:t xml:space="preserve">nehomogenita  </w:t>
      </w:r>
      <w:r w:rsidR="00AD4D9C">
        <w:t>max ±5%</w:t>
      </w:r>
      <w:bookmarkStart w:id="3" w:name="_GoBack"/>
      <w:bookmarkEnd w:id="3"/>
    </w:p>
    <w:p w:rsidR="000513E6" w:rsidRDefault="000513E6" w:rsidP="009F739E">
      <w:pPr>
        <w:jc w:val="both"/>
        <w:rPr>
          <w:lang w:val="en-US"/>
        </w:rPr>
      </w:pPr>
      <w:r>
        <w:tab/>
        <w:t>3.</w:t>
      </w:r>
      <w:r>
        <w:tab/>
        <w:t xml:space="preserve">Plynulá regulace </w:t>
      </w:r>
      <w:r>
        <w:rPr>
          <w:lang w:val="en-US"/>
        </w:rPr>
        <w:t>0</w:t>
      </w:r>
      <w:r w:rsidRPr="00310BF1">
        <w:t xml:space="preserve"> až</w:t>
      </w:r>
      <w:r>
        <w:rPr>
          <w:lang w:val="en-US"/>
        </w:rPr>
        <w:t xml:space="preserve"> 100%</w:t>
      </w:r>
      <w:r w:rsidR="00AD4D9C">
        <w:rPr>
          <w:lang w:val="en-US"/>
        </w:rPr>
        <w:t xml:space="preserve"> v krocích 0,1% (1024 kroků)</w:t>
      </w:r>
    </w:p>
    <w:p w:rsidR="000513E6" w:rsidRPr="007D1202" w:rsidRDefault="000513E6" w:rsidP="009F739E">
      <w:pPr>
        <w:jc w:val="both"/>
      </w:pPr>
      <w:r>
        <w:rPr>
          <w:lang w:val="en-US"/>
        </w:rPr>
        <w:tab/>
        <w:t>4.</w:t>
      </w:r>
      <w:r w:rsidRPr="00310BF1">
        <w:tab/>
      </w:r>
      <w:r>
        <w:t xml:space="preserve">Skladba bíle studené LED </w:t>
      </w:r>
      <w:r w:rsidRPr="00310BF1">
        <w:t>světlo</w:t>
      </w:r>
    </w:p>
    <w:p w:rsidR="000513E6" w:rsidRDefault="000513E6" w:rsidP="009F739E">
      <w:pPr>
        <w:jc w:val="both"/>
      </w:pPr>
      <w:r>
        <w:tab/>
        <w:t>4.</w:t>
      </w:r>
      <w:r>
        <w:tab/>
        <w:t>Možnost nastavitelnosti výšky svítidla</w:t>
      </w:r>
    </w:p>
    <w:p w:rsidR="000513E6" w:rsidRDefault="000513E6" w:rsidP="009F739E">
      <w:pPr>
        <w:jc w:val="both"/>
      </w:pPr>
      <w:r>
        <w:tab/>
        <w:t>5.</w:t>
      </w:r>
      <w:r>
        <w:tab/>
        <w:t xml:space="preserve">Rozdělení do 4 sekcí v prostoru </w:t>
      </w:r>
      <w:r w:rsidR="00640313">
        <w:t xml:space="preserve">každé kóje </w:t>
      </w:r>
      <w:r>
        <w:t>skl</w:t>
      </w:r>
      <w:r w:rsidR="00B16FA0">
        <w:t>e</w:t>
      </w:r>
      <w:r>
        <w:t>níku – 4ks svítidel</w:t>
      </w:r>
    </w:p>
    <w:p w:rsidR="000513E6" w:rsidRDefault="000513E6" w:rsidP="009F739E">
      <w:pPr>
        <w:jc w:val="both"/>
      </w:pPr>
      <w:r>
        <w:tab/>
        <w:t>6.</w:t>
      </w:r>
      <w:r>
        <w:tab/>
        <w:t xml:space="preserve">Snímač pro měření intenzity osvětlení </w:t>
      </w:r>
      <w:r w:rsidR="00AD4D9C">
        <w:t>v uE s kalibrací a spektrálním rozlišením pro měření PAR</w:t>
      </w:r>
      <w:r>
        <w:t>– 2ks na světlo.</w:t>
      </w:r>
    </w:p>
    <w:p w:rsidR="00AD4D9C" w:rsidRDefault="00AD4D9C" w:rsidP="009F739E">
      <w:pPr>
        <w:jc w:val="both"/>
      </w:pPr>
      <w:r>
        <w:tab/>
        <w:t>7. Maximální zatínění svítidlem - 10%</w:t>
      </w:r>
    </w:p>
    <w:p w:rsidR="000513E6" w:rsidRDefault="000513E6" w:rsidP="009F739E">
      <w:pPr>
        <w:jc w:val="both"/>
      </w:pPr>
    </w:p>
    <w:p w:rsidR="000513E6" w:rsidRDefault="000513E6" w:rsidP="009F739E">
      <w:pPr>
        <w:jc w:val="both"/>
      </w:pPr>
      <w:r>
        <w:t>Požadavky plynoucí z TZ elektro a</w:t>
      </w:r>
      <w:r w:rsidRPr="00310BF1">
        <w:t xml:space="preserve"> MaR</w:t>
      </w:r>
      <w:r>
        <w:t>:</w:t>
      </w:r>
    </w:p>
    <w:p w:rsidR="000513E6" w:rsidRDefault="000513E6" w:rsidP="009F739E">
      <w:pPr>
        <w:numPr>
          <w:ilvl w:val="0"/>
          <w:numId w:val="21"/>
        </w:numPr>
        <w:jc w:val="both"/>
      </w:pPr>
      <w:r>
        <w:t>Všechny prvky svítidel umístěných ve skleníku musí mít IP65</w:t>
      </w:r>
    </w:p>
    <w:p w:rsidR="000513E6" w:rsidRPr="00F2717E" w:rsidRDefault="000513E6" w:rsidP="009F739E">
      <w:pPr>
        <w:numPr>
          <w:ilvl w:val="0"/>
          <w:numId w:val="21"/>
        </w:numPr>
        <w:jc w:val="both"/>
      </w:pPr>
      <w:r>
        <w:t xml:space="preserve">Maximální zatížení jednoho přívodu pro </w:t>
      </w:r>
      <w:r w:rsidRPr="00F2717E">
        <w:t xml:space="preserve">světlo </w:t>
      </w:r>
      <w:r w:rsidR="001B2C72" w:rsidRPr="00F2717E">
        <w:t>4</w:t>
      </w:r>
      <w:r w:rsidRPr="00F2717E">
        <w:t xml:space="preserve"> kVA</w:t>
      </w:r>
      <w:r w:rsidR="00F2717E">
        <w:t>.</w:t>
      </w:r>
    </w:p>
    <w:p w:rsidR="000513E6" w:rsidRDefault="00AD4D9C" w:rsidP="009F739E">
      <w:pPr>
        <w:jc w:val="both"/>
      </w:pPr>
      <w:r>
        <w:tab/>
        <w:t>3.</w:t>
      </w:r>
      <w:r>
        <w:tab/>
        <w:t>Jednotlivá světla jsou řízena digitálně prům. protokolem</w:t>
      </w:r>
    </w:p>
    <w:p w:rsidR="00AD4D9C" w:rsidRDefault="00AD4D9C" w:rsidP="009F739E">
      <w:pPr>
        <w:jc w:val="both"/>
      </w:pPr>
      <w:r>
        <w:tab/>
      </w:r>
      <w:r>
        <w:tab/>
        <w:t>- udržování nastaveného světelného režimu - programování světelných cyklů</w:t>
      </w:r>
    </w:p>
    <w:p w:rsidR="00AD4D9C" w:rsidRDefault="00AD4D9C" w:rsidP="009F739E">
      <w:pPr>
        <w:jc w:val="both"/>
      </w:pPr>
      <w:r>
        <w:tab/>
      </w:r>
      <w:r>
        <w:tab/>
        <w:t>- programování ruzných světelných režimů</w:t>
      </w:r>
      <w:r w:rsidR="00A22C56">
        <w:t xml:space="preserve"> ( continuous, pulse, sine, triangle), možnost programování různých časových úseků ( od1ms - dny), definice opakování světelných režimů periodicky i neperiodicky</w:t>
      </w:r>
    </w:p>
    <w:p w:rsidR="00A22C56" w:rsidRDefault="00A22C56" w:rsidP="009F739E">
      <w:pPr>
        <w:jc w:val="both"/>
      </w:pPr>
      <w:r>
        <w:tab/>
      </w:r>
      <w:r>
        <w:tab/>
        <w:t xml:space="preserve">- separátní regulaci u všech svítidel, u každého je možno definovat libovolný protokol a možnost vypnutí </w:t>
      </w:r>
    </w:p>
    <w:p w:rsidR="000513E6" w:rsidRDefault="000513E6" w:rsidP="009F739E">
      <w:pPr>
        <w:jc w:val="both"/>
      </w:pPr>
    </w:p>
    <w:p w:rsidR="000513E6" w:rsidRDefault="000513E6" w:rsidP="009F739E">
      <w:pPr>
        <w:jc w:val="both"/>
      </w:pPr>
      <w:r>
        <w:t>Obecně:</w:t>
      </w:r>
    </w:p>
    <w:p w:rsidR="000513E6" w:rsidRDefault="00667321" w:rsidP="009F739E">
      <w:pPr>
        <w:jc w:val="both"/>
      </w:pPr>
      <w:r>
        <w:tab/>
        <w:t xml:space="preserve">Pro osvětlení </w:t>
      </w:r>
      <w:r w:rsidR="00640313">
        <w:t xml:space="preserve">skleníku </w:t>
      </w:r>
      <w:r w:rsidR="000513E6">
        <w:t>musí být dodrženy výše uvedené požadavky. Jejich úpravy musí být předem dohodnuty s investorem.</w:t>
      </w:r>
    </w:p>
    <w:p w:rsidR="00A22C56" w:rsidRDefault="00A22C56" w:rsidP="009F739E">
      <w:pPr>
        <w:jc w:val="both"/>
      </w:pPr>
    </w:p>
    <w:p w:rsidR="000513E6" w:rsidRDefault="000513E6" w:rsidP="009F739E">
      <w:pPr>
        <w:pStyle w:val="Nadpis1"/>
        <w:jc w:val="both"/>
      </w:pPr>
      <w:r>
        <w:t>Popis řešení osvětlení</w:t>
      </w:r>
    </w:p>
    <w:p w:rsidR="000513E6" w:rsidRDefault="000513E6" w:rsidP="009F739E">
      <w:pPr>
        <w:jc w:val="both"/>
      </w:pPr>
    </w:p>
    <w:p w:rsidR="000513E6" w:rsidRDefault="000513E6" w:rsidP="009F739E">
      <w:pPr>
        <w:ind w:firstLine="708"/>
        <w:jc w:val="both"/>
      </w:pPr>
      <w:r>
        <w:t xml:space="preserve">Osvětlení bude realizováno pomocí LED svítidel </w:t>
      </w:r>
      <w:r w:rsidR="0031312B">
        <w:t xml:space="preserve">s </w:t>
      </w:r>
      <w:r>
        <w:t>dodržení</w:t>
      </w:r>
      <w:r w:rsidR="0031312B">
        <w:t>m</w:t>
      </w:r>
      <w:r>
        <w:t xml:space="preserve"> těsnosti IP 65.</w:t>
      </w:r>
    </w:p>
    <w:p w:rsidR="000513E6" w:rsidRDefault="0031312B" w:rsidP="009F739E">
      <w:pPr>
        <w:ind w:firstLine="708"/>
        <w:jc w:val="both"/>
      </w:pPr>
      <w:r>
        <w:lastRenderedPageBreak/>
        <w:t>LED svítidla</w:t>
      </w:r>
      <w:r>
        <w:t xml:space="preserve"> </w:t>
      </w:r>
      <w:r w:rsidR="000513E6">
        <w:t xml:space="preserve"> budou vzájemně pospojovány nosnou hliníkovou konstrukcí, která bude zavěšena pomocí nastavitelných (ručně) lanových nebo řetězových navijáků na hlavní  konstrukci skleníku. Na konstrukci budou upevněny 2ks snímače intenzity osvětlení ve vzdálenosti </w:t>
      </w:r>
      <w:smartTag w:uri="urn:schemas-microsoft-com:office:smarttags" w:element="metricconverter">
        <w:smartTagPr>
          <w:attr w:name="ProductID" w:val="500 mm"/>
        </w:smartTagPr>
        <w:r w:rsidR="000513E6">
          <w:t>500 mm</w:t>
        </w:r>
      </w:smartTag>
      <w:r w:rsidR="000513E6">
        <w:t xml:space="preserve"> od světel.</w:t>
      </w:r>
    </w:p>
    <w:p w:rsidR="000513E6" w:rsidRDefault="000513E6" w:rsidP="009F739E">
      <w:pPr>
        <w:ind w:firstLine="708"/>
        <w:jc w:val="both"/>
      </w:pPr>
      <w:r>
        <w:t>Počet hliníkových profilů s LED pásky je určen podle výpočtů plynoucí z nároků na osvětlení. Blokové schéma světla je uvedeno na obr. 1.</w:t>
      </w:r>
    </w:p>
    <w:p w:rsidR="000513E6" w:rsidRDefault="000513E6" w:rsidP="009F739E">
      <w:pPr>
        <w:ind w:firstLine="708"/>
        <w:jc w:val="both"/>
      </w:pPr>
    </w:p>
    <w:p w:rsidR="000513E6" w:rsidRDefault="000513E6" w:rsidP="009F739E">
      <w:pPr>
        <w:ind w:firstLine="708"/>
        <w:jc w:val="both"/>
      </w:pPr>
    </w:p>
    <w:p w:rsidR="000513E6" w:rsidRDefault="000513E6" w:rsidP="00C64A6C">
      <w:pPr>
        <w:jc w:val="both"/>
      </w:pPr>
      <w:r>
        <w:t>Použité prvky:</w:t>
      </w:r>
    </w:p>
    <w:p w:rsidR="000513E6" w:rsidRDefault="000513E6" w:rsidP="009F739E">
      <w:pPr>
        <w:numPr>
          <w:ilvl w:val="0"/>
          <w:numId w:val="22"/>
        </w:numPr>
        <w:jc w:val="both"/>
      </w:pPr>
      <w:r>
        <w:t xml:space="preserve">LED </w:t>
      </w:r>
      <w:r w:rsidR="00A22C56">
        <w:t>svítidlo</w:t>
      </w:r>
    </w:p>
    <w:p w:rsidR="000513E6" w:rsidRDefault="000513E6" w:rsidP="009F739E">
      <w:pPr>
        <w:numPr>
          <w:ilvl w:val="0"/>
          <w:numId w:val="22"/>
        </w:numPr>
        <w:jc w:val="both"/>
      </w:pPr>
      <w:r>
        <w:t>Lankový naviják……………………</w:t>
      </w:r>
      <w:r>
        <w:tab/>
        <w:t>podle dodavatele</w:t>
      </w:r>
    </w:p>
    <w:p w:rsidR="009F1E6A" w:rsidRDefault="001B2C72" w:rsidP="009F739E">
      <w:pPr>
        <w:numPr>
          <w:ilvl w:val="0"/>
          <w:numId w:val="22"/>
        </w:numPr>
        <w:jc w:val="both"/>
      </w:pPr>
      <w:r>
        <w:t>Snímač intenzity osvětlení</w:t>
      </w:r>
      <w:r w:rsidR="00A22C56" w:rsidRPr="00A22C56">
        <w:t xml:space="preserve"> </w:t>
      </w:r>
      <w:r w:rsidR="00A22C56">
        <w:t>v uE s kalibrací a spektrálním rozlišením pro měření PAR</w:t>
      </w:r>
      <w:r w:rsidR="00A22C56" w:rsidRPr="00F2717E">
        <w:rPr>
          <w:noProof/>
        </w:rPr>
        <w:t xml:space="preserve"> </w:t>
      </w:r>
      <w:r w:rsidRPr="001B2C72">
        <w:t>Rozsah 0 - 2000 µmol.m2.s-1, Napájení 9 - 30VDC, proud 13mA při 24VDC, komunikace RS422(neoddělená) až 255 zařízení na sběrnici, krytí IP67, společný napájecí a komunikační kabel.</w:t>
      </w:r>
      <w:r w:rsidR="00A22C56">
        <w:t xml:space="preserve"> </w:t>
      </w:r>
    </w:p>
    <w:p w:rsidR="00A22C56" w:rsidRDefault="00A22C56" w:rsidP="00A22C56">
      <w:pPr>
        <w:jc w:val="both"/>
        <w:rPr>
          <w:noProof/>
        </w:rPr>
      </w:pPr>
    </w:p>
    <w:p w:rsidR="00A22C56" w:rsidRDefault="00A22C56" w:rsidP="00A22C56">
      <w:pPr>
        <w:jc w:val="both"/>
        <w:rPr>
          <w:noProof/>
        </w:rPr>
      </w:pPr>
    </w:p>
    <w:p w:rsidR="00A22C56" w:rsidRDefault="00A22C56" w:rsidP="00A22C56">
      <w:pPr>
        <w:jc w:val="both"/>
      </w:pPr>
    </w:p>
    <w:p w:rsidR="000513E6" w:rsidRDefault="00F2717E" w:rsidP="009F1E6A">
      <w:pPr>
        <w:ind w:left="360"/>
        <w:jc w:val="both"/>
      </w:pPr>
      <w:r>
        <w:rPr>
          <w:noProof/>
        </w:rPr>
        <w:drawing>
          <wp:inline distT="0" distB="0" distL="0" distR="0" wp14:anchorId="0EEDD23B" wp14:editId="54A6D835">
            <wp:extent cx="5514975" cy="1390650"/>
            <wp:effectExtent l="0" t="0" r="0" b="0"/>
            <wp:docPr id="3" name="Obrázek 3" descr="C:\Users\Jirka\AppData\Local\Microsoft\Windows\INetCache\Content.Word\SESTAVA_SVETEL_DO_SKLENIKU-MU_3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irka\AppData\Local\Microsoft\Windows\INetCache\Content.Word\SESTAVA_SVETEL_DO_SKLENIKU-MU_3800x8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69" t="38051" r="25208" b="35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C72" w:rsidRDefault="001B2C72" w:rsidP="001B2C72">
      <w:pPr>
        <w:jc w:val="both"/>
      </w:pPr>
    </w:p>
    <w:p w:rsidR="000513E6" w:rsidRDefault="000513E6" w:rsidP="00A201B4">
      <w:pPr>
        <w:jc w:val="center"/>
      </w:pPr>
      <w:r>
        <w:t>Obr. 1 Blokové schéma světla</w:t>
      </w:r>
    </w:p>
    <w:p w:rsidR="00A22C56" w:rsidRDefault="00A22C56" w:rsidP="00A201B4">
      <w:pPr>
        <w:jc w:val="center"/>
      </w:pPr>
    </w:p>
    <w:p w:rsidR="00A22C56" w:rsidRDefault="00A22C56" w:rsidP="00A201B4">
      <w:pPr>
        <w:jc w:val="center"/>
      </w:pPr>
    </w:p>
    <w:p w:rsidR="00A22C56" w:rsidRDefault="00A22C56" w:rsidP="00A201B4">
      <w:pPr>
        <w:jc w:val="center"/>
      </w:pPr>
    </w:p>
    <w:p w:rsidR="00A22C56" w:rsidRDefault="00A22C56" w:rsidP="00A201B4">
      <w:pPr>
        <w:jc w:val="center"/>
      </w:pPr>
    </w:p>
    <w:p w:rsidR="00A22C56" w:rsidRDefault="00A22C56" w:rsidP="00A201B4">
      <w:pPr>
        <w:jc w:val="center"/>
      </w:pPr>
    </w:p>
    <w:p w:rsidR="00A22C56" w:rsidRDefault="00A22C56" w:rsidP="00A201B4">
      <w:pPr>
        <w:jc w:val="center"/>
      </w:pPr>
    </w:p>
    <w:p w:rsidR="00A22C56" w:rsidRDefault="00A22C56" w:rsidP="00A201B4">
      <w:pPr>
        <w:jc w:val="center"/>
      </w:pPr>
    </w:p>
    <w:p w:rsidR="00A22C56" w:rsidRDefault="00A22C56" w:rsidP="00A201B4">
      <w:pPr>
        <w:jc w:val="center"/>
      </w:pPr>
    </w:p>
    <w:p w:rsidR="00A22C56" w:rsidRDefault="00A22C56" w:rsidP="00A201B4">
      <w:pPr>
        <w:jc w:val="center"/>
      </w:pPr>
    </w:p>
    <w:p w:rsidR="00A22C56" w:rsidRDefault="00A22C56" w:rsidP="00A201B4">
      <w:pPr>
        <w:jc w:val="center"/>
      </w:pPr>
    </w:p>
    <w:p w:rsidR="00A22C56" w:rsidRDefault="00A22C56" w:rsidP="00A201B4">
      <w:pPr>
        <w:jc w:val="center"/>
      </w:pPr>
    </w:p>
    <w:p w:rsidR="000513E6" w:rsidRDefault="000513E6" w:rsidP="00091536"/>
    <w:p w:rsidR="000513E6" w:rsidRDefault="000513E6" w:rsidP="00091536">
      <w:r>
        <w:t>Grafické rozložení spektra uvedených LED je zobrazeno na obr. 2.</w:t>
      </w:r>
    </w:p>
    <w:p w:rsidR="000513E6" w:rsidRDefault="00B31CEA" w:rsidP="00091536">
      <w:r w:rsidRPr="0031312B">
        <w:rPr>
          <w:noProof/>
          <w:color w:val="1F497D"/>
        </w:rPr>
        <w:lastRenderedPageBreak/>
        <w:drawing>
          <wp:inline distT="0" distB="0" distL="0" distR="0" wp14:anchorId="1FC13AA1" wp14:editId="52F2F001">
            <wp:extent cx="5759450" cy="3444172"/>
            <wp:effectExtent l="0" t="0" r="0" b="0"/>
            <wp:docPr id="2" name="Obrázek 2" descr="cid:image002.png@01CF896A.8DCDFE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CF896A.8DCDFEE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444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3E6" w:rsidRDefault="000513E6" w:rsidP="00091536">
      <w:pPr>
        <w:jc w:val="center"/>
      </w:pPr>
      <w:r>
        <w:t>Obr. 2: Rozložení spektra LED</w:t>
      </w:r>
    </w:p>
    <w:p w:rsidR="000513E6" w:rsidRDefault="000513E6" w:rsidP="00091536"/>
    <w:p w:rsidR="000513E6" w:rsidRDefault="000513E6" w:rsidP="00091536"/>
    <w:p w:rsidR="000513E6" w:rsidRDefault="000513E6" w:rsidP="00A201B4">
      <w:pPr>
        <w:jc w:val="center"/>
      </w:pPr>
    </w:p>
    <w:p w:rsidR="000513E6" w:rsidRDefault="000513E6" w:rsidP="009F739E">
      <w:pPr>
        <w:jc w:val="both"/>
      </w:pPr>
      <w:r>
        <w:t>Jedna sekce světla obsahuje:</w:t>
      </w:r>
    </w:p>
    <w:p w:rsidR="000513E6" w:rsidRDefault="000513E6" w:rsidP="00313643">
      <w:pPr>
        <w:numPr>
          <w:ilvl w:val="0"/>
          <w:numId w:val="22"/>
        </w:numPr>
        <w:jc w:val="both"/>
      </w:pPr>
      <w:r>
        <w:t xml:space="preserve">LED </w:t>
      </w:r>
      <w:r w:rsidR="00A22C56">
        <w:t xml:space="preserve"> svítidlo</w:t>
      </w:r>
      <w:r>
        <w:t xml:space="preserve"> </w:t>
      </w:r>
    </w:p>
    <w:p w:rsidR="000513E6" w:rsidRDefault="000513E6" w:rsidP="003B1F33">
      <w:pPr>
        <w:numPr>
          <w:ilvl w:val="0"/>
          <w:numId w:val="22"/>
        </w:numPr>
        <w:jc w:val="both"/>
      </w:pPr>
      <w:r>
        <w:t xml:space="preserve">Čidlo </w:t>
      </w:r>
      <w:r w:rsidR="00A22C56">
        <w:t>pro měření intenzity viz. výše</w:t>
      </w:r>
      <w:r>
        <w:t>…………………….</w:t>
      </w:r>
      <w:r>
        <w:tab/>
        <w:t xml:space="preserve">2ks </w:t>
      </w:r>
    </w:p>
    <w:p w:rsidR="000513E6" w:rsidRDefault="000513E6" w:rsidP="00313643">
      <w:pPr>
        <w:ind w:firstLine="360"/>
        <w:jc w:val="both"/>
      </w:pPr>
    </w:p>
    <w:p w:rsidR="000513E6" w:rsidRDefault="000513E6" w:rsidP="00313643">
      <w:pPr>
        <w:ind w:firstLine="360"/>
        <w:jc w:val="both"/>
      </w:pPr>
      <w:r>
        <w:t xml:space="preserve">Celkem bude instalováno 16 ks těchto svítidel. V každém </w:t>
      </w:r>
      <w:r w:rsidR="00640313">
        <w:t xml:space="preserve">kóji </w:t>
      </w:r>
      <w:r>
        <w:t>skleníku budou umístěny 4ks svítidel. Pro elektro napájecí přívod bude připraven kabel CYKY 3x</w:t>
      </w:r>
      <w:r w:rsidR="00667321">
        <w:t>4 z rozvaděče LED osvětlení 2RM42 umístění na spojovací chodbě.</w:t>
      </w:r>
      <w:r>
        <w:t xml:space="preserve"> Kabely snímačů intenzity osvětlení budou zataženy do rozvaděče RVZT kabele JYTY 3x1. K regulaci intenzity osvětlení budou využity regulovatelné napájecí zdroje, které obsahují </w:t>
      </w:r>
      <w:r w:rsidR="0060442E">
        <w:t xml:space="preserve">digitální </w:t>
      </w:r>
      <w:r>
        <w:t>vstup průmyslového standardu</w:t>
      </w:r>
      <w:r w:rsidR="0060442E">
        <w:t xml:space="preserve"> ( řízení po 0,1% - 1024kroků )</w:t>
      </w:r>
      <w:r>
        <w:t>.. Řízení bude prováděno z rozvaděče RVZT. Napojení bude provedeno kabelem JYTY 3x1. Celkem bude instalováno 16 regulačních smyček průmyslového standardu.</w:t>
      </w:r>
    </w:p>
    <w:p w:rsidR="000513E6" w:rsidRDefault="000513E6" w:rsidP="009F739E">
      <w:pPr>
        <w:pStyle w:val="Nadpis1"/>
        <w:numPr>
          <w:ilvl w:val="0"/>
          <w:numId w:val="18"/>
        </w:numPr>
        <w:jc w:val="both"/>
      </w:pPr>
      <w:bookmarkStart w:id="4" w:name="_Toc337035079"/>
      <w:r>
        <w:t>Závěr</w:t>
      </w:r>
      <w:bookmarkEnd w:id="4"/>
    </w:p>
    <w:p w:rsidR="000513E6" w:rsidRDefault="000513E6" w:rsidP="009F739E">
      <w:pPr>
        <w:ind w:firstLine="708"/>
        <w:jc w:val="both"/>
      </w:pPr>
      <w:r>
        <w:t>Jedná se o konstrukci jejíž součástí jsou výrobky k tomu určené. Celá sestava svítidla bude sestavena dodavatelem na místě stavby. Umístění svítidla bude vždy předem dohodnuto s investorem.</w:t>
      </w:r>
    </w:p>
    <w:sectPr w:rsidR="000513E6" w:rsidSect="009A6804">
      <w:footerReference w:type="default" r:id="rId10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DDA" w:rsidRDefault="00AA0DDA">
      <w:r>
        <w:separator/>
      </w:r>
    </w:p>
  </w:endnote>
  <w:endnote w:type="continuationSeparator" w:id="0">
    <w:p w:rsidR="00AA0DDA" w:rsidRDefault="00AA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C56" w:rsidRDefault="00A22C56">
    <w:pPr>
      <w:pStyle w:val="Zpat"/>
    </w:pPr>
    <w:r>
      <w:tab/>
      <w:t xml:space="preserve">- </w:t>
    </w:r>
    <w:r w:rsidR="00B31CEA">
      <w:fldChar w:fldCharType="begin"/>
    </w:r>
    <w:r w:rsidR="00B31CEA">
      <w:instrText xml:space="preserve"> PAGE </w:instrText>
    </w:r>
    <w:r w:rsidR="00B31CEA">
      <w:fldChar w:fldCharType="separate"/>
    </w:r>
    <w:r w:rsidR="0031312B">
      <w:rPr>
        <w:noProof/>
      </w:rPr>
      <w:t>3</w:t>
    </w:r>
    <w:r w:rsidR="00B31CEA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DDA" w:rsidRDefault="00AA0DDA">
      <w:r>
        <w:separator/>
      </w:r>
    </w:p>
  </w:footnote>
  <w:footnote w:type="continuationSeparator" w:id="0">
    <w:p w:rsidR="00AA0DDA" w:rsidRDefault="00AA0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11A2B998"/>
    <w:lvl w:ilvl="0">
      <w:start w:val="1"/>
      <w:numFmt w:val="decimal"/>
      <w:pStyle w:val="Nadpis1"/>
      <w:lvlText w:val="%1."/>
      <w:legacy w:legacy="1" w:legacySpace="113" w:legacyIndent="0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Nadpis2"/>
      <w:lvlText w:val="%1.%2"/>
      <w:legacy w:legacy="1" w:legacySpace="113" w:legacyIndent="0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</w:rPr>
    </w:lvl>
    <w:lvl w:ilvl="2">
      <w:start w:val="1"/>
      <w:numFmt w:val="decimal"/>
      <w:pStyle w:val="Nadpis3"/>
      <w:lvlText w:val="%1.%2.%3"/>
      <w:legacy w:legacy="1" w:legacySpace="113" w:legacyIndent="0"/>
      <w:lvlJc w:val="left"/>
      <w:rPr>
        <w:rFonts w:cs="Times New Roman"/>
      </w:rPr>
    </w:lvl>
    <w:lvl w:ilvl="3">
      <w:start w:val="1"/>
      <w:numFmt w:val="decimal"/>
      <w:pStyle w:val="Nadpis4"/>
      <w:lvlText w:val="%1.%2.%3.%4"/>
      <w:legacy w:legacy="1" w:legacySpace="113" w:legacyIndent="0"/>
      <w:lvlJc w:val="left"/>
      <w:rPr>
        <w:rFonts w:cs="Times New Roman"/>
      </w:rPr>
    </w:lvl>
    <w:lvl w:ilvl="4">
      <w:start w:val="1"/>
      <w:numFmt w:val="decimal"/>
      <w:pStyle w:val="Nadpis5"/>
      <w:lvlText w:val="%1.%2.%3.%4.%5"/>
      <w:legacy w:legacy="1" w:legacySpace="113" w:legacyIndent="0"/>
      <w:lvlJc w:val="left"/>
      <w:rPr>
        <w:rFonts w:cs="Times New Roman"/>
      </w:rPr>
    </w:lvl>
    <w:lvl w:ilvl="5">
      <w:start w:val="1"/>
      <w:numFmt w:val="decimal"/>
      <w:pStyle w:val="Nadpis6"/>
      <w:lvlText w:val="%1.%2.%3.%4.%5.%6"/>
      <w:legacy w:legacy="1" w:legacySpace="113" w:legacyIndent="0"/>
      <w:lvlJc w:val="left"/>
      <w:rPr>
        <w:rFonts w:cs="Times New Roman"/>
      </w:rPr>
    </w:lvl>
    <w:lvl w:ilvl="6">
      <w:start w:val="1"/>
      <w:numFmt w:val="decimal"/>
      <w:pStyle w:val="Nadpis7"/>
      <w:lvlText w:val="%1.%2.%3.%4.%5.%6.%7"/>
      <w:legacy w:legacy="1" w:legacySpace="113" w:legacyIndent="0"/>
      <w:lvlJc w:val="left"/>
      <w:rPr>
        <w:rFonts w:cs="Times New Roman"/>
      </w:rPr>
    </w:lvl>
    <w:lvl w:ilvl="7">
      <w:start w:val="1"/>
      <w:numFmt w:val="decimal"/>
      <w:pStyle w:val="Nadpis8"/>
      <w:lvlText w:val="%1.%2.%3.%4.%5.%6.%7.%8"/>
      <w:legacy w:legacy="1" w:legacySpace="113" w:legacyIndent="0"/>
      <w:lvlJc w:val="left"/>
      <w:rPr>
        <w:rFonts w:cs="Times New Roman"/>
      </w:rPr>
    </w:lvl>
    <w:lvl w:ilvl="8">
      <w:start w:val="1"/>
      <w:numFmt w:val="decimal"/>
      <w:pStyle w:val="Nadpis9"/>
      <w:lvlText w:val="%1.%2.%3.%4.%5.%6.%7.%8.%9"/>
      <w:legacy w:legacy="1" w:legacySpace="113" w:legacyIndent="0"/>
      <w:lvlJc w:val="left"/>
      <w:rPr>
        <w:rFonts w:cs="Times New Roman"/>
      </w:rPr>
    </w:lvl>
  </w:abstractNum>
  <w:abstractNum w:abstractNumId="1">
    <w:nsid w:val="048459A9"/>
    <w:multiLevelType w:val="multilevel"/>
    <w:tmpl w:val="D5ACA3A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BB3292"/>
    <w:multiLevelType w:val="hybridMultilevel"/>
    <w:tmpl w:val="E154D7D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C265E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1C65D4"/>
    <w:multiLevelType w:val="hybridMultilevel"/>
    <w:tmpl w:val="C324BA26"/>
    <w:lvl w:ilvl="0" w:tplc="3D2893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F3A599A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8C1EFA"/>
    <w:multiLevelType w:val="multilevel"/>
    <w:tmpl w:val="DECE11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D3E3DDB"/>
    <w:multiLevelType w:val="hybridMultilevel"/>
    <w:tmpl w:val="689213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09453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2432F7"/>
    <w:multiLevelType w:val="multilevel"/>
    <w:tmpl w:val="B702653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>
    <w:nsid w:val="100E1211"/>
    <w:multiLevelType w:val="hybridMultilevel"/>
    <w:tmpl w:val="B43AAFFA"/>
    <w:lvl w:ilvl="0" w:tplc="89E0CA9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>
    <w:nsid w:val="15D84053"/>
    <w:multiLevelType w:val="singleLevel"/>
    <w:tmpl w:val="F592846A"/>
    <w:lvl w:ilvl="0">
      <w:start w:val="1"/>
      <w:numFmt w:val="bullet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9">
    <w:nsid w:val="1ACB0975"/>
    <w:multiLevelType w:val="hybridMultilevel"/>
    <w:tmpl w:val="0F1C0314"/>
    <w:lvl w:ilvl="0" w:tplc="456802F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1F6C2E53"/>
    <w:multiLevelType w:val="multilevel"/>
    <w:tmpl w:val="05667F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F85714E"/>
    <w:multiLevelType w:val="hybridMultilevel"/>
    <w:tmpl w:val="244E3730"/>
    <w:lvl w:ilvl="0" w:tplc="BCEAD49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>
    <w:nsid w:val="28C37CF4"/>
    <w:multiLevelType w:val="multilevel"/>
    <w:tmpl w:val="C82CF5E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4B82D6E"/>
    <w:multiLevelType w:val="hybridMultilevel"/>
    <w:tmpl w:val="CEA07BE6"/>
    <w:lvl w:ilvl="0" w:tplc="E6583C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CD7373B"/>
    <w:multiLevelType w:val="multilevel"/>
    <w:tmpl w:val="4F280AD8"/>
    <w:lvl w:ilvl="0">
      <w:start w:val="1"/>
      <w:numFmt w:val="decimal"/>
      <w:lvlText w:val="%1."/>
      <w:legacy w:legacy="1" w:legacySpace="113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113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113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113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113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113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113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113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13" w:legacyIndent="0"/>
      <w:lvlJc w:val="left"/>
      <w:rPr>
        <w:rFonts w:cs="Times New Roman"/>
      </w:rPr>
    </w:lvl>
  </w:abstractNum>
  <w:abstractNum w:abstractNumId="15">
    <w:nsid w:val="4F233A02"/>
    <w:multiLevelType w:val="hybridMultilevel"/>
    <w:tmpl w:val="972C20FA"/>
    <w:lvl w:ilvl="0" w:tplc="5F0E11EC">
      <w:start w:val="1"/>
      <w:numFmt w:val="upp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6">
    <w:nsid w:val="54DE0925"/>
    <w:multiLevelType w:val="hybridMultilevel"/>
    <w:tmpl w:val="E214DA74"/>
    <w:lvl w:ilvl="0" w:tplc="F630153C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6A70AD1"/>
    <w:multiLevelType w:val="hybridMultilevel"/>
    <w:tmpl w:val="A47E0D7A"/>
    <w:lvl w:ilvl="0" w:tplc="8690A15A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7F8637C"/>
    <w:multiLevelType w:val="multilevel"/>
    <w:tmpl w:val="B4BC03C0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9">
    <w:nsid w:val="760E49A3"/>
    <w:multiLevelType w:val="multilevel"/>
    <w:tmpl w:val="9260EDD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7C284EFD"/>
    <w:multiLevelType w:val="hybridMultilevel"/>
    <w:tmpl w:val="BA2EE65A"/>
    <w:lvl w:ilvl="0" w:tplc="B386B42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15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1"/>
  </w:num>
  <w:num w:numId="10">
    <w:abstractNumId w:val="8"/>
  </w:num>
  <w:num w:numId="11">
    <w:abstractNumId w:val="0"/>
    <w:lvlOverride w:ilvl="0">
      <w:startOverride w:val="3"/>
    </w:lvlOverride>
  </w:num>
  <w:num w:numId="12">
    <w:abstractNumId w:val="14"/>
  </w:num>
  <w:num w:numId="13">
    <w:abstractNumId w:val="18"/>
  </w:num>
  <w:num w:numId="14">
    <w:abstractNumId w:val="12"/>
  </w:num>
  <w:num w:numId="15">
    <w:abstractNumId w:val="19"/>
  </w:num>
  <w:num w:numId="16">
    <w:abstractNumId w:val="17"/>
  </w:num>
  <w:num w:numId="17">
    <w:abstractNumId w:val="13"/>
  </w:num>
  <w:num w:numId="18">
    <w:abstractNumId w:val="6"/>
  </w:num>
  <w:num w:numId="19">
    <w:abstractNumId w:val="9"/>
  </w:num>
  <w:num w:numId="20">
    <w:abstractNumId w:val="7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F88"/>
    <w:rsid w:val="00005C1D"/>
    <w:rsid w:val="00006700"/>
    <w:rsid w:val="00007076"/>
    <w:rsid w:val="00007212"/>
    <w:rsid w:val="0001061D"/>
    <w:rsid w:val="00023910"/>
    <w:rsid w:val="00030866"/>
    <w:rsid w:val="000513E6"/>
    <w:rsid w:val="000604DD"/>
    <w:rsid w:val="000646E5"/>
    <w:rsid w:val="00065F76"/>
    <w:rsid w:val="00067E19"/>
    <w:rsid w:val="000702A8"/>
    <w:rsid w:val="000721D9"/>
    <w:rsid w:val="00073313"/>
    <w:rsid w:val="00073C7B"/>
    <w:rsid w:val="00073E55"/>
    <w:rsid w:val="000910C8"/>
    <w:rsid w:val="00091536"/>
    <w:rsid w:val="000B414C"/>
    <w:rsid w:val="000C4451"/>
    <w:rsid w:val="000D03A8"/>
    <w:rsid w:val="000D4F94"/>
    <w:rsid w:val="000D7A67"/>
    <w:rsid w:val="000D7F74"/>
    <w:rsid w:val="000F7A5C"/>
    <w:rsid w:val="00126334"/>
    <w:rsid w:val="001302BF"/>
    <w:rsid w:val="001309C0"/>
    <w:rsid w:val="00131033"/>
    <w:rsid w:val="0013133D"/>
    <w:rsid w:val="00151E18"/>
    <w:rsid w:val="0015740C"/>
    <w:rsid w:val="0016141E"/>
    <w:rsid w:val="00177F04"/>
    <w:rsid w:val="00180523"/>
    <w:rsid w:val="00181661"/>
    <w:rsid w:val="00192D36"/>
    <w:rsid w:val="00197CD0"/>
    <w:rsid w:val="001A1D0A"/>
    <w:rsid w:val="001A420F"/>
    <w:rsid w:val="001A6CBD"/>
    <w:rsid w:val="001B2C72"/>
    <w:rsid w:val="001E6BEF"/>
    <w:rsid w:val="001F1857"/>
    <w:rsid w:val="00201F61"/>
    <w:rsid w:val="00202CDF"/>
    <w:rsid w:val="00205417"/>
    <w:rsid w:val="00224B97"/>
    <w:rsid w:val="00226F77"/>
    <w:rsid w:val="00234EA0"/>
    <w:rsid w:val="00236334"/>
    <w:rsid w:val="00251ACB"/>
    <w:rsid w:val="0026701E"/>
    <w:rsid w:val="00272E40"/>
    <w:rsid w:val="00282FC6"/>
    <w:rsid w:val="002931A0"/>
    <w:rsid w:val="00297279"/>
    <w:rsid w:val="002B1863"/>
    <w:rsid w:val="002B5A2C"/>
    <w:rsid w:val="002B602C"/>
    <w:rsid w:val="002B6E92"/>
    <w:rsid w:val="002B7CCD"/>
    <w:rsid w:val="002C0655"/>
    <w:rsid w:val="002C56B9"/>
    <w:rsid w:val="002C7079"/>
    <w:rsid w:val="002D54B2"/>
    <w:rsid w:val="00301A1E"/>
    <w:rsid w:val="00304A15"/>
    <w:rsid w:val="00310BF1"/>
    <w:rsid w:val="0031312B"/>
    <w:rsid w:val="00313643"/>
    <w:rsid w:val="00324AB1"/>
    <w:rsid w:val="0032741A"/>
    <w:rsid w:val="003302F7"/>
    <w:rsid w:val="0033790C"/>
    <w:rsid w:val="003506A8"/>
    <w:rsid w:val="00351D17"/>
    <w:rsid w:val="00366260"/>
    <w:rsid w:val="00391660"/>
    <w:rsid w:val="003B1F33"/>
    <w:rsid w:val="003B2014"/>
    <w:rsid w:val="003B6D82"/>
    <w:rsid w:val="003C642D"/>
    <w:rsid w:val="003D1E93"/>
    <w:rsid w:val="003D3C80"/>
    <w:rsid w:val="003D56B9"/>
    <w:rsid w:val="003E284D"/>
    <w:rsid w:val="003E33B5"/>
    <w:rsid w:val="003E5C42"/>
    <w:rsid w:val="003E7839"/>
    <w:rsid w:val="003F25AA"/>
    <w:rsid w:val="003F4414"/>
    <w:rsid w:val="003F5799"/>
    <w:rsid w:val="003F622D"/>
    <w:rsid w:val="00401C4B"/>
    <w:rsid w:val="004104D0"/>
    <w:rsid w:val="00410F3E"/>
    <w:rsid w:val="00415DC2"/>
    <w:rsid w:val="00426382"/>
    <w:rsid w:val="0042733E"/>
    <w:rsid w:val="00445D45"/>
    <w:rsid w:val="00485A37"/>
    <w:rsid w:val="00492822"/>
    <w:rsid w:val="004A4A06"/>
    <w:rsid w:val="004B255D"/>
    <w:rsid w:val="004B2576"/>
    <w:rsid w:val="004B6902"/>
    <w:rsid w:val="004B6E70"/>
    <w:rsid w:val="004B77B2"/>
    <w:rsid w:val="004C7ACD"/>
    <w:rsid w:val="004D0B07"/>
    <w:rsid w:val="004D4BF1"/>
    <w:rsid w:val="004E0A6A"/>
    <w:rsid w:val="004F1D06"/>
    <w:rsid w:val="00502A20"/>
    <w:rsid w:val="00502E55"/>
    <w:rsid w:val="0051307A"/>
    <w:rsid w:val="005154E5"/>
    <w:rsid w:val="005204FD"/>
    <w:rsid w:val="005364A1"/>
    <w:rsid w:val="005544B0"/>
    <w:rsid w:val="00557524"/>
    <w:rsid w:val="005666CA"/>
    <w:rsid w:val="00570E4A"/>
    <w:rsid w:val="00572824"/>
    <w:rsid w:val="00581201"/>
    <w:rsid w:val="00592F46"/>
    <w:rsid w:val="005A0044"/>
    <w:rsid w:val="005A02AF"/>
    <w:rsid w:val="005A12BF"/>
    <w:rsid w:val="005A3039"/>
    <w:rsid w:val="005B25AC"/>
    <w:rsid w:val="005B447E"/>
    <w:rsid w:val="005B7903"/>
    <w:rsid w:val="005C0CF2"/>
    <w:rsid w:val="005D6820"/>
    <w:rsid w:val="005D77F4"/>
    <w:rsid w:val="005F65BF"/>
    <w:rsid w:val="005F7829"/>
    <w:rsid w:val="0060442E"/>
    <w:rsid w:val="00614936"/>
    <w:rsid w:val="00622534"/>
    <w:rsid w:val="00623141"/>
    <w:rsid w:val="00640313"/>
    <w:rsid w:val="0065055C"/>
    <w:rsid w:val="00653E25"/>
    <w:rsid w:val="0066560C"/>
    <w:rsid w:val="00667321"/>
    <w:rsid w:val="006807E9"/>
    <w:rsid w:val="00694BD3"/>
    <w:rsid w:val="006A0763"/>
    <w:rsid w:val="006A2B11"/>
    <w:rsid w:val="006B0A31"/>
    <w:rsid w:val="006B52E5"/>
    <w:rsid w:val="006E6111"/>
    <w:rsid w:val="006F3B84"/>
    <w:rsid w:val="006F40E2"/>
    <w:rsid w:val="00703948"/>
    <w:rsid w:val="0071124F"/>
    <w:rsid w:val="00712478"/>
    <w:rsid w:val="0071307F"/>
    <w:rsid w:val="007135C0"/>
    <w:rsid w:val="0072042A"/>
    <w:rsid w:val="00726347"/>
    <w:rsid w:val="00732E3B"/>
    <w:rsid w:val="00736E7B"/>
    <w:rsid w:val="007425B8"/>
    <w:rsid w:val="00746E2C"/>
    <w:rsid w:val="00757187"/>
    <w:rsid w:val="00772D5A"/>
    <w:rsid w:val="007749F0"/>
    <w:rsid w:val="007821C7"/>
    <w:rsid w:val="00784663"/>
    <w:rsid w:val="00790148"/>
    <w:rsid w:val="00794773"/>
    <w:rsid w:val="00795FCD"/>
    <w:rsid w:val="007A0780"/>
    <w:rsid w:val="007B4C9A"/>
    <w:rsid w:val="007B5875"/>
    <w:rsid w:val="007B756F"/>
    <w:rsid w:val="007C05E0"/>
    <w:rsid w:val="007C1277"/>
    <w:rsid w:val="007C76A1"/>
    <w:rsid w:val="007D1202"/>
    <w:rsid w:val="007D28A5"/>
    <w:rsid w:val="007D4BA7"/>
    <w:rsid w:val="007D5092"/>
    <w:rsid w:val="007D7086"/>
    <w:rsid w:val="007E409C"/>
    <w:rsid w:val="007E4C5C"/>
    <w:rsid w:val="007E672A"/>
    <w:rsid w:val="007F0402"/>
    <w:rsid w:val="007F2D09"/>
    <w:rsid w:val="0080098C"/>
    <w:rsid w:val="00801BEB"/>
    <w:rsid w:val="008021C9"/>
    <w:rsid w:val="00803973"/>
    <w:rsid w:val="00811DC7"/>
    <w:rsid w:val="00814D71"/>
    <w:rsid w:val="00824584"/>
    <w:rsid w:val="00825EEB"/>
    <w:rsid w:val="008305CB"/>
    <w:rsid w:val="008378F7"/>
    <w:rsid w:val="008477A4"/>
    <w:rsid w:val="008567EB"/>
    <w:rsid w:val="00867555"/>
    <w:rsid w:val="008739D5"/>
    <w:rsid w:val="00875FCB"/>
    <w:rsid w:val="0087708F"/>
    <w:rsid w:val="00895EAE"/>
    <w:rsid w:val="008A7A71"/>
    <w:rsid w:val="008B5634"/>
    <w:rsid w:val="008B741C"/>
    <w:rsid w:val="008C115B"/>
    <w:rsid w:val="008C2E0F"/>
    <w:rsid w:val="008D327C"/>
    <w:rsid w:val="008E300D"/>
    <w:rsid w:val="008E5E00"/>
    <w:rsid w:val="008E66C1"/>
    <w:rsid w:val="008E7B8D"/>
    <w:rsid w:val="0090002C"/>
    <w:rsid w:val="00900D9C"/>
    <w:rsid w:val="00900E6B"/>
    <w:rsid w:val="00906335"/>
    <w:rsid w:val="00906CFB"/>
    <w:rsid w:val="00932F6E"/>
    <w:rsid w:val="009345DF"/>
    <w:rsid w:val="009552B7"/>
    <w:rsid w:val="00962302"/>
    <w:rsid w:val="009642D1"/>
    <w:rsid w:val="00973CAA"/>
    <w:rsid w:val="009809DC"/>
    <w:rsid w:val="009828AF"/>
    <w:rsid w:val="00983BDF"/>
    <w:rsid w:val="009A032B"/>
    <w:rsid w:val="009A0448"/>
    <w:rsid w:val="009A0B61"/>
    <w:rsid w:val="009A424B"/>
    <w:rsid w:val="009A6804"/>
    <w:rsid w:val="009C5B06"/>
    <w:rsid w:val="009D6D27"/>
    <w:rsid w:val="009E3DE5"/>
    <w:rsid w:val="009E5282"/>
    <w:rsid w:val="009F1E6A"/>
    <w:rsid w:val="009F739E"/>
    <w:rsid w:val="00A0166A"/>
    <w:rsid w:val="00A0656F"/>
    <w:rsid w:val="00A06D72"/>
    <w:rsid w:val="00A06EBC"/>
    <w:rsid w:val="00A201B4"/>
    <w:rsid w:val="00A22C56"/>
    <w:rsid w:val="00A24738"/>
    <w:rsid w:val="00A33C37"/>
    <w:rsid w:val="00A571CC"/>
    <w:rsid w:val="00A60288"/>
    <w:rsid w:val="00A64FDF"/>
    <w:rsid w:val="00A670FB"/>
    <w:rsid w:val="00A73D73"/>
    <w:rsid w:val="00A75BDE"/>
    <w:rsid w:val="00A7711D"/>
    <w:rsid w:val="00A876FF"/>
    <w:rsid w:val="00A90010"/>
    <w:rsid w:val="00AA0DDA"/>
    <w:rsid w:val="00AC0AA9"/>
    <w:rsid w:val="00AC1F8E"/>
    <w:rsid w:val="00AC2F6E"/>
    <w:rsid w:val="00AD3AF6"/>
    <w:rsid w:val="00AD4D9C"/>
    <w:rsid w:val="00AD6ED4"/>
    <w:rsid w:val="00B0289E"/>
    <w:rsid w:val="00B05604"/>
    <w:rsid w:val="00B14C12"/>
    <w:rsid w:val="00B15B3C"/>
    <w:rsid w:val="00B16FA0"/>
    <w:rsid w:val="00B31CEA"/>
    <w:rsid w:val="00B33A24"/>
    <w:rsid w:val="00B35075"/>
    <w:rsid w:val="00B4275E"/>
    <w:rsid w:val="00B5502F"/>
    <w:rsid w:val="00B557EE"/>
    <w:rsid w:val="00B61688"/>
    <w:rsid w:val="00B71774"/>
    <w:rsid w:val="00B74EEE"/>
    <w:rsid w:val="00B750AD"/>
    <w:rsid w:val="00B75918"/>
    <w:rsid w:val="00B76BF8"/>
    <w:rsid w:val="00B85DA1"/>
    <w:rsid w:val="00B96F26"/>
    <w:rsid w:val="00BA308C"/>
    <w:rsid w:val="00BA322A"/>
    <w:rsid w:val="00BA4F0F"/>
    <w:rsid w:val="00BB3094"/>
    <w:rsid w:val="00BC13F1"/>
    <w:rsid w:val="00BC32C8"/>
    <w:rsid w:val="00BD5327"/>
    <w:rsid w:val="00BE47F3"/>
    <w:rsid w:val="00BF0787"/>
    <w:rsid w:val="00C03A82"/>
    <w:rsid w:val="00C03BF8"/>
    <w:rsid w:val="00C062E3"/>
    <w:rsid w:val="00C1192B"/>
    <w:rsid w:val="00C11B2D"/>
    <w:rsid w:val="00C1651B"/>
    <w:rsid w:val="00C16DED"/>
    <w:rsid w:val="00C26AF6"/>
    <w:rsid w:val="00C36EC1"/>
    <w:rsid w:val="00C41184"/>
    <w:rsid w:val="00C416F0"/>
    <w:rsid w:val="00C47902"/>
    <w:rsid w:val="00C61EEB"/>
    <w:rsid w:val="00C64A6C"/>
    <w:rsid w:val="00C769EC"/>
    <w:rsid w:val="00C800AD"/>
    <w:rsid w:val="00C904D9"/>
    <w:rsid w:val="00CA1BE2"/>
    <w:rsid w:val="00CA1D93"/>
    <w:rsid w:val="00CB0410"/>
    <w:rsid w:val="00CB34BC"/>
    <w:rsid w:val="00CC146E"/>
    <w:rsid w:val="00CC319E"/>
    <w:rsid w:val="00CC70C7"/>
    <w:rsid w:val="00CD36F1"/>
    <w:rsid w:val="00CD395E"/>
    <w:rsid w:val="00CD4622"/>
    <w:rsid w:val="00CE503B"/>
    <w:rsid w:val="00CE5C90"/>
    <w:rsid w:val="00D02664"/>
    <w:rsid w:val="00D0517A"/>
    <w:rsid w:val="00D11297"/>
    <w:rsid w:val="00D15DB0"/>
    <w:rsid w:val="00D2422D"/>
    <w:rsid w:val="00D24690"/>
    <w:rsid w:val="00D25E76"/>
    <w:rsid w:val="00D3144E"/>
    <w:rsid w:val="00D43B21"/>
    <w:rsid w:val="00D44E70"/>
    <w:rsid w:val="00D501B2"/>
    <w:rsid w:val="00D519A0"/>
    <w:rsid w:val="00D51D24"/>
    <w:rsid w:val="00D54130"/>
    <w:rsid w:val="00D56572"/>
    <w:rsid w:val="00D67A48"/>
    <w:rsid w:val="00D717A9"/>
    <w:rsid w:val="00D73A35"/>
    <w:rsid w:val="00D74D0A"/>
    <w:rsid w:val="00D75B2E"/>
    <w:rsid w:val="00D80975"/>
    <w:rsid w:val="00D80B20"/>
    <w:rsid w:val="00D9412E"/>
    <w:rsid w:val="00DA32F1"/>
    <w:rsid w:val="00DA3D49"/>
    <w:rsid w:val="00DB43F8"/>
    <w:rsid w:val="00DB55EB"/>
    <w:rsid w:val="00DD09C9"/>
    <w:rsid w:val="00DE251F"/>
    <w:rsid w:val="00DE7013"/>
    <w:rsid w:val="00DF0F76"/>
    <w:rsid w:val="00E12CB3"/>
    <w:rsid w:val="00E16550"/>
    <w:rsid w:val="00E24999"/>
    <w:rsid w:val="00E26424"/>
    <w:rsid w:val="00E34037"/>
    <w:rsid w:val="00E45D62"/>
    <w:rsid w:val="00E51A61"/>
    <w:rsid w:val="00E61A53"/>
    <w:rsid w:val="00E64A8C"/>
    <w:rsid w:val="00E65AEC"/>
    <w:rsid w:val="00E775A7"/>
    <w:rsid w:val="00E8781D"/>
    <w:rsid w:val="00E921E7"/>
    <w:rsid w:val="00EA1995"/>
    <w:rsid w:val="00EA600E"/>
    <w:rsid w:val="00EB27B7"/>
    <w:rsid w:val="00EC28A7"/>
    <w:rsid w:val="00ED1267"/>
    <w:rsid w:val="00EE35D3"/>
    <w:rsid w:val="00EE3E70"/>
    <w:rsid w:val="00EE635E"/>
    <w:rsid w:val="00EF6F49"/>
    <w:rsid w:val="00EF7C09"/>
    <w:rsid w:val="00F20DE0"/>
    <w:rsid w:val="00F23A16"/>
    <w:rsid w:val="00F2717E"/>
    <w:rsid w:val="00F272FB"/>
    <w:rsid w:val="00F34D79"/>
    <w:rsid w:val="00F3632C"/>
    <w:rsid w:val="00F417D6"/>
    <w:rsid w:val="00F41AD8"/>
    <w:rsid w:val="00F557D1"/>
    <w:rsid w:val="00F56F88"/>
    <w:rsid w:val="00F77894"/>
    <w:rsid w:val="00F85944"/>
    <w:rsid w:val="00FA0928"/>
    <w:rsid w:val="00FA417D"/>
    <w:rsid w:val="00FA4D98"/>
    <w:rsid w:val="00FC1283"/>
    <w:rsid w:val="00FC20AE"/>
    <w:rsid w:val="00FC7457"/>
    <w:rsid w:val="00FD52EF"/>
    <w:rsid w:val="00FE6A42"/>
    <w:rsid w:val="00FF0923"/>
    <w:rsid w:val="00FF157A"/>
    <w:rsid w:val="00FF31B9"/>
    <w:rsid w:val="00FF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CA15FF8-D294-42A8-8190-54E29DE3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5A2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065F76"/>
    <w:pPr>
      <w:keepNext/>
      <w:widowControl w:val="0"/>
      <w:numPr>
        <w:numId w:val="8"/>
      </w:numPr>
      <w:tabs>
        <w:tab w:val="left" w:pos="360"/>
      </w:tabs>
      <w:spacing w:before="240" w:after="60"/>
      <w:outlineLvl w:val="0"/>
    </w:pPr>
    <w:rPr>
      <w:b/>
      <w:kern w:val="28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065F76"/>
    <w:pPr>
      <w:keepNext/>
      <w:widowControl w:val="0"/>
      <w:numPr>
        <w:ilvl w:val="1"/>
        <w:numId w:val="8"/>
      </w:numPr>
      <w:tabs>
        <w:tab w:val="left" w:pos="360"/>
      </w:tabs>
      <w:spacing w:before="240" w:after="60"/>
      <w:ind w:left="792" w:hanging="432"/>
      <w:outlineLvl w:val="1"/>
    </w:pPr>
    <w:rPr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065F76"/>
    <w:pPr>
      <w:keepNext/>
      <w:widowControl w:val="0"/>
      <w:numPr>
        <w:ilvl w:val="2"/>
        <w:numId w:val="8"/>
      </w:numPr>
      <w:tabs>
        <w:tab w:val="left" w:pos="567"/>
        <w:tab w:val="left" w:pos="720"/>
      </w:tabs>
      <w:spacing w:before="60" w:after="60"/>
      <w:jc w:val="both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65F76"/>
    <w:pPr>
      <w:keepNext/>
      <w:widowControl w:val="0"/>
      <w:numPr>
        <w:ilvl w:val="3"/>
        <w:numId w:val="8"/>
      </w:numPr>
      <w:spacing w:before="240" w:after="6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65F76"/>
    <w:pPr>
      <w:widowControl w:val="0"/>
      <w:numPr>
        <w:ilvl w:val="4"/>
        <w:numId w:val="8"/>
      </w:numPr>
      <w:spacing w:before="60" w:after="60"/>
      <w:outlineLvl w:val="4"/>
    </w:pPr>
    <w:rPr>
      <w:b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65F76"/>
    <w:pPr>
      <w:widowControl w:val="0"/>
      <w:numPr>
        <w:ilvl w:val="5"/>
        <w:numId w:val="8"/>
      </w:numPr>
      <w:spacing w:before="240" w:after="60"/>
      <w:outlineLvl w:val="5"/>
    </w:pPr>
    <w:rPr>
      <w:rFonts w:ascii="Arial" w:hAnsi="Arial"/>
      <w:i/>
      <w:sz w:val="22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065F76"/>
    <w:pPr>
      <w:widowControl w:val="0"/>
      <w:numPr>
        <w:ilvl w:val="6"/>
        <w:numId w:val="8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65F76"/>
    <w:pPr>
      <w:widowControl w:val="0"/>
      <w:numPr>
        <w:ilvl w:val="7"/>
        <w:numId w:val="8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065F76"/>
    <w:pPr>
      <w:widowControl w:val="0"/>
      <w:numPr>
        <w:ilvl w:val="8"/>
        <w:numId w:val="8"/>
      </w:numPr>
      <w:spacing w:before="240" w:after="60"/>
      <w:outlineLvl w:val="8"/>
    </w:pPr>
    <w:rPr>
      <w:rFonts w:ascii="Arial" w:hAnsi="Arial"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0910C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0910C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0910C8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0910C8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0910C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0910C8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0910C8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0910C8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0910C8"/>
    <w:rPr>
      <w:rFonts w:ascii="Cambria" w:hAnsi="Cambria" w:cs="Times New Roman"/>
    </w:rPr>
  </w:style>
  <w:style w:type="character" w:styleId="Hypertextovodkaz">
    <w:name w:val="Hyperlink"/>
    <w:uiPriority w:val="99"/>
    <w:rsid w:val="00F56F88"/>
    <w:rPr>
      <w:rFonts w:cs="Times New Roman"/>
      <w:color w:val="0000FF"/>
      <w:u w:val="single"/>
    </w:rPr>
  </w:style>
  <w:style w:type="paragraph" w:customStyle="1" w:styleId="PlainText1">
    <w:name w:val="Plain Text1"/>
    <w:basedOn w:val="Normln"/>
    <w:uiPriority w:val="99"/>
    <w:rsid w:val="00A7711D"/>
    <w:rPr>
      <w:rFonts w:ascii="Courier New" w:hAnsi="Courier New"/>
      <w:sz w:val="20"/>
      <w:szCs w:val="20"/>
    </w:rPr>
  </w:style>
  <w:style w:type="paragraph" w:customStyle="1" w:styleId="TechUdaje">
    <w:name w:val="TechUdaje"/>
    <w:basedOn w:val="Normln"/>
    <w:uiPriority w:val="99"/>
    <w:rsid w:val="00DF0F76"/>
    <w:pPr>
      <w:ind w:left="709"/>
    </w:pPr>
    <w:rPr>
      <w:sz w:val="20"/>
      <w:szCs w:val="20"/>
    </w:rPr>
  </w:style>
  <w:style w:type="paragraph" w:customStyle="1" w:styleId="TextMar">
    <w:name w:val="TextMar"/>
    <w:basedOn w:val="Normln"/>
    <w:uiPriority w:val="99"/>
    <w:rsid w:val="00065F76"/>
    <w:pPr>
      <w:spacing w:after="120"/>
      <w:ind w:firstLine="709"/>
    </w:pPr>
    <w:rPr>
      <w:szCs w:val="20"/>
    </w:rPr>
  </w:style>
  <w:style w:type="paragraph" w:customStyle="1" w:styleId="pedsazen">
    <w:name w:val="předsazený"/>
    <w:basedOn w:val="Normln"/>
    <w:uiPriority w:val="99"/>
    <w:rsid w:val="000604DD"/>
    <w:pPr>
      <w:ind w:left="113" w:hanging="113"/>
    </w:pPr>
    <w:rPr>
      <w:sz w:val="20"/>
      <w:szCs w:val="20"/>
    </w:rPr>
  </w:style>
  <w:style w:type="paragraph" w:styleId="Obsah2">
    <w:name w:val="toc 2"/>
    <w:basedOn w:val="Normln"/>
    <w:next w:val="Normln"/>
    <w:autoRedefine/>
    <w:uiPriority w:val="99"/>
    <w:semiHidden/>
    <w:rsid w:val="00BA322A"/>
    <w:pPr>
      <w:ind w:left="240"/>
    </w:pPr>
  </w:style>
  <w:style w:type="paragraph" w:styleId="Obsah1">
    <w:name w:val="toc 1"/>
    <w:basedOn w:val="Normln"/>
    <w:next w:val="Normln"/>
    <w:autoRedefine/>
    <w:uiPriority w:val="99"/>
    <w:semiHidden/>
    <w:rsid w:val="00BA322A"/>
  </w:style>
  <w:style w:type="paragraph" w:styleId="Zhlav">
    <w:name w:val="header"/>
    <w:basedOn w:val="Normln"/>
    <w:link w:val="ZhlavChar"/>
    <w:uiPriority w:val="99"/>
    <w:rsid w:val="00EC28A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0910C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EC28A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0910C8"/>
    <w:rPr>
      <w:rFonts w:cs="Times New Roman"/>
      <w:sz w:val="24"/>
      <w:szCs w:val="24"/>
    </w:rPr>
  </w:style>
  <w:style w:type="paragraph" w:customStyle="1" w:styleId="Tabulkazkladn">
    <w:name w:val="Tabulka základní"/>
    <w:basedOn w:val="Normln"/>
    <w:uiPriority w:val="99"/>
    <w:rsid w:val="0080098C"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Arial" w:hAnsi="Arial"/>
      <w:b/>
      <w:sz w:val="20"/>
      <w:szCs w:val="20"/>
    </w:rPr>
  </w:style>
  <w:style w:type="paragraph" w:customStyle="1" w:styleId="Tabulkazhlav">
    <w:name w:val="Tabulka záhlaví"/>
    <w:basedOn w:val="Tabulkazkladn"/>
    <w:next w:val="Tabulkazkladn"/>
    <w:uiPriority w:val="99"/>
    <w:rsid w:val="0080098C"/>
    <w:rPr>
      <w:sz w:val="16"/>
    </w:rPr>
  </w:style>
  <w:style w:type="character" w:styleId="slostrnky">
    <w:name w:val="page number"/>
    <w:uiPriority w:val="99"/>
    <w:rsid w:val="006A0763"/>
    <w:rPr>
      <w:rFonts w:cs="Times New Roman"/>
    </w:rPr>
  </w:style>
  <w:style w:type="paragraph" w:styleId="Obsah3">
    <w:name w:val="toc 3"/>
    <w:basedOn w:val="Normln"/>
    <w:next w:val="Normln"/>
    <w:autoRedefine/>
    <w:uiPriority w:val="99"/>
    <w:semiHidden/>
    <w:rsid w:val="005D6820"/>
    <w:pPr>
      <w:ind w:left="480"/>
    </w:pPr>
  </w:style>
  <w:style w:type="character" w:styleId="slodku">
    <w:name w:val="line number"/>
    <w:uiPriority w:val="99"/>
    <w:rsid w:val="0026701E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1B2C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2C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30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cid:image002.png@01CF896A.8DCDFE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522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JirkaM</dc:creator>
  <cp:lastModifiedBy>Türk Tomáš</cp:lastModifiedBy>
  <cp:revision>4</cp:revision>
  <cp:lastPrinted>2014-05-15T11:22:00Z</cp:lastPrinted>
  <dcterms:created xsi:type="dcterms:W3CDTF">2014-06-25T13:50:00Z</dcterms:created>
  <dcterms:modified xsi:type="dcterms:W3CDTF">2014-06-26T10:19:00Z</dcterms:modified>
</cp:coreProperties>
</file>